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8B34" w14:textId="77777777" w:rsidR="002A68B6" w:rsidRDefault="002D316B">
      <w:r w:rsidRPr="002D316B">
        <w:t>Purpose: Complete Outputs and Outcomes to be submitted with your application form. Ensure the figures input are measurable and achievable.</w:t>
      </w:r>
      <w:r>
        <w:t xml:space="preserve"> If you wish to complete project output and outcomes in the spreadsheet, please ensure it has this table structure.</w:t>
      </w:r>
    </w:p>
    <w:p w14:paraId="6080BB23" w14:textId="4DB3AFF1" w:rsidR="002D316B" w:rsidRDefault="002D316B">
      <w:r>
        <w:fldChar w:fldCharType="begin"/>
      </w:r>
      <w:r>
        <w:instrText xml:space="preserve"> LINK </w:instrText>
      </w:r>
      <w:r w:rsidR="00923403">
        <w:instrText xml:space="preserve">Excel.Sheet.12 "C:\\Users\\aigray\\Downloads\\ACRD Outputs and Outcomes - 1.0.xlsx" 2026!R3C2:R8C8 </w:instrText>
      </w:r>
      <w:r>
        <w:instrText xml:space="preserve">\a \f 4 \h  \* MERGEFORMAT </w:instrText>
      </w:r>
      <w:r>
        <w:fldChar w:fldCharType="separate"/>
      </w:r>
    </w:p>
    <w:tbl>
      <w:tblPr>
        <w:tblW w:w="15466" w:type="dxa"/>
        <w:tblLook w:val="04A0" w:firstRow="1" w:lastRow="0" w:firstColumn="1" w:lastColumn="0" w:noHBand="0" w:noVBand="1"/>
      </w:tblPr>
      <w:tblGrid>
        <w:gridCol w:w="1622"/>
        <w:gridCol w:w="1928"/>
        <w:gridCol w:w="37"/>
        <w:gridCol w:w="10"/>
        <w:gridCol w:w="9"/>
        <w:gridCol w:w="1907"/>
        <w:gridCol w:w="11"/>
        <w:gridCol w:w="10"/>
        <w:gridCol w:w="57"/>
        <w:gridCol w:w="1699"/>
        <w:gridCol w:w="170"/>
        <w:gridCol w:w="15"/>
        <w:gridCol w:w="29"/>
        <w:gridCol w:w="2394"/>
        <w:gridCol w:w="114"/>
        <w:gridCol w:w="43"/>
        <w:gridCol w:w="14"/>
        <w:gridCol w:w="2664"/>
        <w:gridCol w:w="111"/>
        <w:gridCol w:w="18"/>
        <w:gridCol w:w="27"/>
        <w:gridCol w:w="2395"/>
        <w:gridCol w:w="108"/>
        <w:gridCol w:w="44"/>
        <w:gridCol w:w="30"/>
      </w:tblGrid>
      <w:tr w:rsidR="002A68B6" w:rsidRPr="002D316B" w14:paraId="7D3B309D" w14:textId="77777777" w:rsidTr="002A68B6">
        <w:trPr>
          <w:trHeight w:val="20"/>
        </w:trPr>
        <w:tc>
          <w:tcPr>
            <w:tcW w:w="1622" w:type="dxa"/>
            <w:tcBorders>
              <w:top w:val="single" w:sz="4" w:space="0" w:color="808080"/>
              <w:left w:val="single" w:sz="4" w:space="0" w:color="808080"/>
              <w:bottom w:val="single" w:sz="4" w:space="0" w:color="A6A6A6"/>
              <w:right w:val="single" w:sz="4" w:space="0" w:color="808080"/>
            </w:tcBorders>
            <w:shd w:val="clear" w:color="000000" w:fill="DAF2D0"/>
            <w:vAlign w:val="center"/>
            <w:hideMark/>
          </w:tcPr>
          <w:p w14:paraId="6F16452A" w14:textId="7634BE98" w:rsidR="002D316B" w:rsidRPr="002D316B" w:rsidRDefault="002D316B" w:rsidP="002D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REGIONAL / NATIONAL BENEFIT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DAF2D0"/>
            <w:vAlign w:val="center"/>
            <w:hideMark/>
          </w:tcPr>
          <w:p w14:paraId="44685677" w14:textId="77777777" w:rsidR="002D316B" w:rsidRPr="002D316B" w:rsidRDefault="002D316B" w:rsidP="002D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AIMS AND OBJECTIVES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6" w:type="dxa"/>
            <w:gridSpan w:val="3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DAF2D0"/>
            <w:vAlign w:val="center"/>
            <w:hideMark/>
          </w:tcPr>
          <w:p w14:paraId="71C9F6F5" w14:textId="77777777" w:rsidR="002D316B" w:rsidRPr="002D316B" w:rsidRDefault="002D316B" w:rsidP="002D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OUTPUTS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62" w:type="dxa"/>
            <w:gridSpan w:val="6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DAF2D0"/>
            <w:vAlign w:val="center"/>
            <w:hideMark/>
          </w:tcPr>
          <w:p w14:paraId="6C140C23" w14:textId="7E850AF6" w:rsidR="002D316B" w:rsidRPr="002D316B" w:rsidRDefault="002D316B" w:rsidP="002D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UTPUT FIGURE PROJECT WILL DELIVER</w:t>
            </w:r>
          </w:p>
        </w:tc>
        <w:tc>
          <w:tcPr>
            <w:tcW w:w="2594" w:type="dxa"/>
            <w:gridSpan w:val="5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DAF2D0"/>
            <w:vAlign w:val="center"/>
            <w:hideMark/>
          </w:tcPr>
          <w:p w14:paraId="582293B9" w14:textId="77777777" w:rsidR="002D316B" w:rsidRPr="002D316B" w:rsidRDefault="002D316B" w:rsidP="002D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OUTCOMES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793" w:type="dxa"/>
            <w:gridSpan w:val="3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DAF2D0"/>
            <w:vAlign w:val="center"/>
            <w:hideMark/>
          </w:tcPr>
          <w:p w14:paraId="418A0789" w14:textId="77777777" w:rsidR="002D316B" w:rsidRPr="002D316B" w:rsidRDefault="002D316B" w:rsidP="002D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OUTCOME FIGURE PROJECT WILL DELIVER</w:t>
            </w:r>
          </w:p>
        </w:tc>
        <w:tc>
          <w:tcPr>
            <w:tcW w:w="2604" w:type="dxa"/>
            <w:gridSpan w:val="5"/>
            <w:tcBorders>
              <w:top w:val="single" w:sz="4" w:space="0" w:color="808080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DAF2D0"/>
            <w:vAlign w:val="center"/>
            <w:hideMark/>
          </w:tcPr>
          <w:p w14:paraId="674FD8C0" w14:textId="77777777" w:rsidR="002D316B" w:rsidRPr="002D316B" w:rsidRDefault="002D316B" w:rsidP="002D31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COMMENTS</w:t>
            </w:r>
          </w:p>
        </w:tc>
      </w:tr>
      <w:tr w:rsidR="002A68B6" w:rsidRPr="002D316B" w14:paraId="51CED2DD" w14:textId="77777777" w:rsidTr="002A68B6">
        <w:trPr>
          <w:gridAfter w:val="1"/>
          <w:wAfter w:w="30" w:type="dxa"/>
          <w:trHeight w:val="3360"/>
        </w:trPr>
        <w:tc>
          <w:tcPr>
            <w:tcW w:w="16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2C4E255" w14:textId="77777777" w:rsidR="002D316B" w:rsidRPr="002D316B" w:rsidRDefault="002D316B" w:rsidP="002A68B6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Positions the region as a leader in digital infrastructure.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Contributes to national targets for gigabit-capable broadband and digital inclusion. 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62BB4EA" w14:textId="77777777" w:rsidR="002D316B" w:rsidRPr="002D316B" w:rsidRDefault="002D316B" w:rsidP="002A68B6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Bridge the digital divide by providing universal access to high-speed broadband, especially in rural and underserved areas.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Enable economic growth, job creation and improved quality of life.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Support digital inclusion and equal opportunities for all communities.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C84D46" w14:textId="0207252D" w:rsidR="002D316B" w:rsidRPr="002D316B" w:rsidRDefault="002D316B" w:rsidP="002A68B6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Extension of ultrafast fibre networks to homes, businesses and public sector sites.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Deployment of regional sensor networks for smart city and IoT applications.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Other (please state)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0494F39" w14:textId="4267E364" w:rsidR="002D316B" w:rsidRPr="002D316B" w:rsidRDefault="002D316B" w:rsidP="002A68B6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70FA8D" w14:textId="7CEA8654" w:rsidR="002D316B" w:rsidRPr="002D316B" w:rsidRDefault="002D316B" w:rsidP="002A68B6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Increased broadband coverage: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Improved connectivity for residents and businesses.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Enhanced access to digital services, education and remote work.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Attraction of private investment and support for innovation clusters.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Other (please state) 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1448B995" w14:textId="46F42E06" w:rsidR="002D316B" w:rsidRPr="002D316B" w:rsidRDefault="002D316B" w:rsidP="002A68B6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4504521C" w14:textId="34449AD2" w:rsidR="002D316B" w:rsidRPr="002D316B" w:rsidRDefault="002D316B" w:rsidP="002A68B6">
            <w:pPr>
              <w:spacing w:after="0" w:line="240" w:lineRule="auto"/>
              <w:contextualSpacing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A68B6" w:rsidRPr="002D316B" w14:paraId="2A7F30CE" w14:textId="77777777" w:rsidTr="002A68B6">
        <w:trPr>
          <w:gridAfter w:val="1"/>
          <w:wAfter w:w="30" w:type="dxa"/>
          <w:trHeight w:val="3645"/>
        </w:trPr>
        <w:tc>
          <w:tcPr>
            <w:tcW w:w="16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67C4832" w14:textId="7777777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Supports Scotland’s ambition to be a digital nation and wellbeing economy.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Addresses skills shortages and supports economic transformation. 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8EA6CD2" w14:textId="7777777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 xml:space="preserve">Equip the workforce with essential digital, AI, and no-code skills for the future economy.  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Reduce digital skills gaps and support lifelong learning.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Enable businesses and public sector organisations to adopt and experiment with new technologies.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45D9926" w14:textId="412BCD50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Creation of a regional no-code and AI platform, with shared licences, reusable templates, and a digital skills sandbox.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Delivery of structured skills and adoption programmes for businesses and public sector staff.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Other (please state)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5C8E6A7" w14:textId="62FAD3C2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7454FB6" w14:textId="39F34BB4" w:rsidR="002D316B" w:rsidRPr="002D316B" w:rsidRDefault="002A68B6" w:rsidP="002A68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I</w:t>
            </w:r>
            <w:r w:rsidR="002D316B"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mproved digital skills in the workforce:</w:t>
            </w:r>
            <w:r w:rsidR="002D316B"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="002D316B"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="002D316B"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Increased digital literacy and confidence across the workforce. </w:t>
            </w:r>
            <w:r w:rsidR="002D316B"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="002D316B"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="002D316B"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Higher rates of technology adoption and innovation. </w:t>
            </w:r>
            <w:r w:rsidR="002D316B"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="002D316B"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="002D316B"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Greater employability and productivity in the region. </w:t>
            </w:r>
            <w:r w:rsidR="002D316B"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="002D316B"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="002D316B"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Other (please state) 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190FD80E" w14:textId="4865620A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47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0FE049E3" w14:textId="20967DD0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A68B6" w:rsidRPr="002D316B" w14:paraId="75B58746" w14:textId="77777777" w:rsidTr="002A68B6">
        <w:trPr>
          <w:gridAfter w:val="2"/>
          <w:wAfter w:w="74" w:type="dxa"/>
          <w:trHeight w:val="3810"/>
        </w:trPr>
        <w:tc>
          <w:tcPr>
            <w:tcW w:w="16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80102C" w14:textId="7777777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Aligns with UK and Scottish Government strategies for digital government.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Contributes to a more resilient, responsive, and inclusive public sector.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F950D0" w14:textId="7777777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Make public services more accessible, efficient, and user-friendly through digital platforms.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Reduce administrative burdens and improve service quality for citizens and businesses.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Ensure inclusivity and ethical use of digital technologies.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9DF38A" w14:textId="0E2AC180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Development and rollout of digital public service platforms and applications.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Integration of digital identity, payment, and notification systems.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Other (please state)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0949C8D" w14:textId="676FAECC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0466F2A" w14:textId="6858B67C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Digital delivery of public services: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Increased uptake of digital public services.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Improved user satisfaction and reduced service delivery costs.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Enhanced transparency and accountability in public sector operations. </w:t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Other (please state) </w:t>
            </w:r>
          </w:p>
        </w:tc>
        <w:tc>
          <w:tcPr>
            <w:tcW w:w="2832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092399F6" w14:textId="7F670843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48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5D634D4" w14:textId="0239D32D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A68B6" w:rsidRPr="002D316B" w14:paraId="373B8E62" w14:textId="77777777" w:rsidTr="002A68B6">
        <w:trPr>
          <w:gridAfter w:val="2"/>
          <w:wAfter w:w="74" w:type="dxa"/>
          <w:trHeight w:val="3375"/>
        </w:trPr>
        <w:tc>
          <w:tcPr>
            <w:tcW w:w="16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0137599" w14:textId="7777777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Strengthens the region’s position as a digital innovation hub.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Supports national ambitions for data-driven public services and economic growth.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5936173" w14:textId="7777777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Provide the backbone for secure, scalable, and innovative digital services.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Enable advanced analytics, AI, and data-driven decision-making.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Support feasibility studies, pilot projects, and demonstrators to test new approaches.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20E3DB6" w14:textId="5B92C01E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Construction or upgrade of data centres and digital infrastructure.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Delivery of pilot projects and demonstrators for new technologies (e.g., IoT, AI, smart city solutions).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Other (please stat</w:t>
            </w:r>
            <w:r w:rsidR="002A68B6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624D28" w14:textId="2FD325CF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36A96F" w14:textId="29A6356B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Data/digital infrastructure: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 </w:t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Improved data management, security, and resilience. </w:t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Accelerated innovation and commercialisation of digital solutions.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Evidence base for scaling up successful pilots. </w:t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Other (please state) </w:t>
            </w:r>
          </w:p>
        </w:tc>
        <w:tc>
          <w:tcPr>
            <w:tcW w:w="2832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090EE01E" w14:textId="289E0906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48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1AB89BBE" w14:textId="3AF6C98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A68B6" w:rsidRPr="002D316B" w14:paraId="3F148BBD" w14:textId="77777777" w:rsidTr="002A68B6">
        <w:trPr>
          <w:gridAfter w:val="3"/>
          <w:wAfter w:w="182" w:type="dxa"/>
          <w:trHeight w:val="3660"/>
        </w:trPr>
        <w:tc>
          <w:tcPr>
            <w:tcW w:w="162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D20E96" w14:textId="7777777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Drives economic diversification and resilience.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Positions the region and nation as leaders in digital transformation and smart infrastructure.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8640D2" w14:textId="77777777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Foster a culture of innovation and collaboration across sectors.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Enable the development and adoption of cutting-edge digital technologies.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Enhance regional and national competitiveness. 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719832" w14:textId="79864450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Expansion of digital connectivity solutions (e.g., 5G, IoT networks).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Other (please state)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CE8BA30" w14:textId="468C74CE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73B9F5F" w14:textId="43181523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Digital innovation and connectivity: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  </w:t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br/>
              <w:t>Increased number of innovative digital products, services, and start-ups.  </w:t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Improved connectivity for businesses, public sector and communities.  </w:t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Stronger partnerships between academia, industry, and government. </w:t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 w:rsidRPr="002D316B"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  <w:t>Other (please state)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755DFAD7" w14:textId="4975CAB8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16D098F" w14:textId="105FE235" w:rsidR="002D316B" w:rsidRPr="002D316B" w:rsidRDefault="002D316B" w:rsidP="002A68B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46BD0784" w14:textId="1241B4DE" w:rsidR="002D316B" w:rsidRDefault="002D316B">
      <w:r>
        <w:fldChar w:fldCharType="end"/>
      </w:r>
    </w:p>
    <w:sectPr w:rsidR="002D316B" w:rsidSect="002A68B6">
      <w:headerReference w:type="default" r:id="rId6"/>
      <w:pgSz w:w="16838" w:h="11906" w:orient="landscape"/>
      <w:pgMar w:top="1440" w:right="82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848A" w14:textId="77777777" w:rsidR="0074567E" w:rsidRDefault="0074567E" w:rsidP="002D316B">
      <w:pPr>
        <w:spacing w:after="0" w:line="240" w:lineRule="auto"/>
      </w:pPr>
      <w:r>
        <w:separator/>
      </w:r>
    </w:p>
  </w:endnote>
  <w:endnote w:type="continuationSeparator" w:id="0">
    <w:p w14:paraId="7DDC4B6F" w14:textId="77777777" w:rsidR="0074567E" w:rsidRDefault="0074567E" w:rsidP="002D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DE5F" w14:textId="77777777" w:rsidR="0074567E" w:rsidRDefault="0074567E" w:rsidP="002D316B">
      <w:pPr>
        <w:spacing w:after="0" w:line="240" w:lineRule="auto"/>
      </w:pPr>
      <w:r>
        <w:separator/>
      </w:r>
    </w:p>
  </w:footnote>
  <w:footnote w:type="continuationSeparator" w:id="0">
    <w:p w14:paraId="3CF430CD" w14:textId="77777777" w:rsidR="0074567E" w:rsidRDefault="0074567E" w:rsidP="002D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0FD5" w14:textId="214CEEA8" w:rsidR="002D316B" w:rsidRDefault="002D316B" w:rsidP="002D316B">
    <w:pPr>
      <w:pStyle w:val="Head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BB0FDE" wp14:editId="5E0E4424">
          <wp:simplePos x="0" y="0"/>
          <wp:positionH relativeFrom="margin">
            <wp:posOffset>8179794</wp:posOffset>
          </wp:positionH>
          <wp:positionV relativeFrom="margin">
            <wp:posOffset>-1208129</wp:posOffset>
          </wp:positionV>
          <wp:extent cx="643255" cy="643255"/>
          <wp:effectExtent l="0" t="0" r="4445" b="4445"/>
          <wp:wrapSquare wrapText="bothSides"/>
          <wp:docPr id="51771254" name="Picture 51771254" descr="A blurry image of a colorful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99627" name="Picture 1149099627" descr="A blurry image of a colorful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47E1D">
      <w:rPr>
        <w:sz w:val="32"/>
        <w:szCs w:val="32"/>
      </w:rPr>
      <w:t>ABERDEEN CITY REGION DEAL</w:t>
    </w:r>
  </w:p>
  <w:p w14:paraId="601B4242" w14:textId="6633C269" w:rsidR="002D316B" w:rsidRDefault="002D316B" w:rsidP="002D316B">
    <w:pPr>
      <w:pStyle w:val="Header"/>
      <w:pBdr>
        <w:bottom w:val="single" w:sz="12" w:space="0" w:color="auto"/>
      </w:pBdr>
    </w:pPr>
    <w:r>
      <w:t>Digital Challenge Fund – Outputs &amp; Outcomes</w:t>
    </w:r>
  </w:p>
  <w:p w14:paraId="10C9BCB0" w14:textId="77777777" w:rsidR="002D316B" w:rsidRDefault="002D316B" w:rsidP="002D316B">
    <w:pPr>
      <w:pStyle w:val="Header"/>
      <w:pBdr>
        <w:bottom w:val="single" w:sz="12" w:space="0" w:color="auto"/>
      </w:pBdr>
    </w:pPr>
  </w:p>
  <w:p w14:paraId="2F79E6C1" w14:textId="23DAF099" w:rsidR="002D316B" w:rsidRDefault="002D316B" w:rsidP="002D316B">
    <w:pPr>
      <w:pStyle w:val="Header"/>
    </w:pPr>
    <w:r w:rsidRPr="00F726AC">
      <w:tab/>
    </w:r>
    <w:r w:rsidRPr="00F726AC">
      <w:tab/>
    </w:r>
  </w:p>
  <w:p w14:paraId="7EF0D6DF" w14:textId="77777777" w:rsidR="002D316B" w:rsidRDefault="002D3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6B"/>
    <w:rsid w:val="00133445"/>
    <w:rsid w:val="001B314A"/>
    <w:rsid w:val="002A68B6"/>
    <w:rsid w:val="002D316B"/>
    <w:rsid w:val="00367ACF"/>
    <w:rsid w:val="005A164F"/>
    <w:rsid w:val="005F1BDF"/>
    <w:rsid w:val="0074567E"/>
    <w:rsid w:val="00923403"/>
    <w:rsid w:val="00AE39C0"/>
    <w:rsid w:val="00AE4F44"/>
    <w:rsid w:val="00B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226B"/>
  <w15:chartTrackingRefBased/>
  <w15:docId w15:val="{0EDF6B4F-66CD-4F6C-9B6D-B017954F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1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6B"/>
  </w:style>
  <w:style w:type="paragraph" w:styleId="Footer">
    <w:name w:val="footer"/>
    <w:basedOn w:val="Normal"/>
    <w:link w:val="FooterChar"/>
    <w:uiPriority w:val="99"/>
    <w:unhideWhenUsed/>
    <w:rsid w:val="002D3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 Gray</dc:creator>
  <cp:keywords/>
  <dc:description/>
  <cp:lastModifiedBy>Aigul Gray</cp:lastModifiedBy>
  <cp:revision>5</cp:revision>
  <dcterms:created xsi:type="dcterms:W3CDTF">2026-02-23T12:48:00Z</dcterms:created>
  <dcterms:modified xsi:type="dcterms:W3CDTF">2026-02-23T13:11:00Z</dcterms:modified>
</cp:coreProperties>
</file>